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17A24" w14:textId="77777777" w:rsidR="002F6AB8" w:rsidRPr="00F921DA" w:rsidRDefault="002F6AB8" w:rsidP="009D7E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21DA">
        <w:rPr>
          <w:rFonts w:ascii="Arial" w:hAnsi="Arial" w:cs="Arial"/>
          <w:b/>
          <w:sz w:val="24"/>
          <w:szCs w:val="24"/>
        </w:rPr>
        <w:t>RESUMO</w:t>
      </w:r>
    </w:p>
    <w:p w14:paraId="07C78B87" w14:textId="77777777" w:rsidR="002F6AB8" w:rsidRPr="00F921DA" w:rsidRDefault="002F6AB8" w:rsidP="009D7E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3398FD" w14:textId="1C07314F" w:rsidR="002F6AB8" w:rsidRPr="002F6AB8" w:rsidRDefault="002F6AB8" w:rsidP="002F6A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21DA">
        <w:rPr>
          <w:rFonts w:ascii="Arial" w:hAnsi="Arial" w:cs="Arial"/>
          <w:b/>
          <w:sz w:val="24"/>
          <w:szCs w:val="24"/>
        </w:rPr>
        <w:t>AVALIAÇÃO DA RECONCILIAÇÃO MEDICAMENTOSA EM UNIDADE DE TERAPIA INTENSIVA: ANÁLISE FARMACOLÓGICA</w:t>
      </w:r>
    </w:p>
    <w:p w14:paraId="74A2C44B" w14:textId="77777777" w:rsidR="002F6AB8" w:rsidRDefault="002F6AB8" w:rsidP="00B7304D">
      <w:pPr>
        <w:jc w:val="both"/>
        <w:rPr>
          <w:rFonts w:ascii="Arial" w:hAnsi="Arial" w:cs="Arial"/>
          <w:sz w:val="24"/>
          <w:szCs w:val="24"/>
        </w:rPr>
      </w:pPr>
    </w:p>
    <w:p w14:paraId="64F4CFC3" w14:textId="4D9D1EF7" w:rsidR="002F6AB8" w:rsidRPr="00B7304D" w:rsidRDefault="00B7304D" w:rsidP="00B7304D">
      <w:pPr>
        <w:jc w:val="both"/>
        <w:rPr>
          <w:rFonts w:ascii="Arial" w:hAnsi="Arial" w:cs="Arial"/>
          <w:sz w:val="24"/>
          <w:szCs w:val="24"/>
        </w:rPr>
      </w:pPr>
      <w:r w:rsidRPr="00B7304D">
        <w:rPr>
          <w:rFonts w:ascii="Arial" w:hAnsi="Arial" w:cs="Arial"/>
          <w:sz w:val="24"/>
          <w:szCs w:val="24"/>
        </w:rPr>
        <w:t>O farmacêutico deve realizar a reconciliação medicamentosa para promover o uso correto dos medicamentos no ambiente hospitalar, garantindo a segurança do paciente. O objetivo deste estudo foi analisar os dados farmacológicos obtidos através da reconciliação medicamentosa realizada em uma UTI e estruturá-los de acordo com a classificação ATC. A reconciliação medicamentosa foi feita em 108 casos, onde 17 medicações foram substituídas (sendo a justificativa mais frequente a emergência hipertensiva, não padronização do medicamento pelo hospital, ineficácia da medicação), 51 tiverem seu uso suspenso (</w:t>
      </w:r>
      <w:r w:rsidR="002514B3">
        <w:rPr>
          <w:rFonts w:ascii="Arial" w:hAnsi="Arial" w:cs="Arial"/>
          <w:sz w:val="24"/>
          <w:szCs w:val="24"/>
        </w:rPr>
        <w:t>pois</w:t>
      </w:r>
      <w:r w:rsidRPr="00B7304D">
        <w:rPr>
          <w:rFonts w:ascii="Arial" w:hAnsi="Arial" w:cs="Arial"/>
          <w:sz w:val="24"/>
          <w:szCs w:val="24"/>
        </w:rPr>
        <w:t xml:space="preserve"> </w:t>
      </w:r>
      <w:r w:rsidR="002514B3">
        <w:rPr>
          <w:rFonts w:ascii="Arial" w:hAnsi="Arial" w:cs="Arial"/>
          <w:sz w:val="24"/>
          <w:szCs w:val="24"/>
        </w:rPr>
        <w:t>o</w:t>
      </w:r>
      <w:r w:rsidRPr="00B7304D">
        <w:rPr>
          <w:rFonts w:ascii="Arial" w:hAnsi="Arial" w:cs="Arial"/>
          <w:sz w:val="24"/>
          <w:szCs w:val="24"/>
        </w:rPr>
        <w:t xml:space="preserve"> uso </w:t>
      </w:r>
      <w:r w:rsidR="002514B3">
        <w:rPr>
          <w:rFonts w:ascii="Arial" w:hAnsi="Arial" w:cs="Arial"/>
          <w:sz w:val="24"/>
          <w:szCs w:val="24"/>
        </w:rPr>
        <w:t xml:space="preserve">é </w:t>
      </w:r>
      <w:r w:rsidRPr="00B7304D">
        <w:rPr>
          <w:rFonts w:ascii="Arial" w:hAnsi="Arial" w:cs="Arial"/>
          <w:sz w:val="24"/>
          <w:szCs w:val="24"/>
        </w:rPr>
        <w:t>desnecessário</w:t>
      </w:r>
      <w:r w:rsidR="002514B3">
        <w:rPr>
          <w:rFonts w:ascii="Arial" w:hAnsi="Arial" w:cs="Arial"/>
          <w:sz w:val="24"/>
          <w:szCs w:val="24"/>
        </w:rPr>
        <w:t>, devido ao</w:t>
      </w:r>
      <w:r w:rsidRPr="00B7304D">
        <w:rPr>
          <w:rFonts w:ascii="Arial" w:hAnsi="Arial" w:cs="Arial"/>
          <w:sz w:val="24"/>
          <w:szCs w:val="24"/>
        </w:rPr>
        <w:t xml:space="preserve"> paciente esta</w:t>
      </w:r>
      <w:r w:rsidR="002514B3">
        <w:rPr>
          <w:rFonts w:ascii="Arial" w:hAnsi="Arial" w:cs="Arial"/>
          <w:sz w:val="24"/>
          <w:szCs w:val="24"/>
        </w:rPr>
        <w:t>r s</w:t>
      </w:r>
      <w:r w:rsidRPr="00B7304D">
        <w:rPr>
          <w:rFonts w:ascii="Arial" w:hAnsi="Arial" w:cs="Arial"/>
          <w:sz w:val="24"/>
          <w:szCs w:val="24"/>
        </w:rPr>
        <w:t xml:space="preserve">edado, </w:t>
      </w:r>
      <w:r w:rsidR="006C6523" w:rsidRPr="00B7304D">
        <w:rPr>
          <w:rFonts w:ascii="Arial" w:hAnsi="Arial" w:cs="Arial"/>
          <w:sz w:val="24"/>
          <w:szCs w:val="24"/>
        </w:rPr>
        <w:t>possíveis</w:t>
      </w:r>
      <w:r w:rsidRPr="00B7304D">
        <w:rPr>
          <w:rFonts w:ascii="Arial" w:hAnsi="Arial" w:cs="Arial"/>
          <w:sz w:val="24"/>
          <w:szCs w:val="24"/>
        </w:rPr>
        <w:t xml:space="preserve"> casos de hipotensão, hemorragias e hiperpotassemia em insuficiência renal) e 40 delas permaneceram em uso. </w:t>
      </w:r>
      <w:r w:rsidR="00502BAE">
        <w:rPr>
          <w:rFonts w:ascii="Arial" w:hAnsi="Arial" w:cs="Arial"/>
          <w:sz w:val="24"/>
          <w:szCs w:val="24"/>
        </w:rPr>
        <w:t>Fo</w:t>
      </w:r>
      <w:r w:rsidR="00F70340" w:rsidRPr="00E25A7E">
        <w:rPr>
          <w:rFonts w:ascii="Arial" w:hAnsi="Arial" w:cs="Arial"/>
          <w:sz w:val="24"/>
          <w:szCs w:val="24"/>
        </w:rPr>
        <w:t xml:space="preserve">i avaliado que os fármacos mais frequentemente reconciliados ou suspensos na UTI, </w:t>
      </w:r>
      <w:r w:rsidR="00502BAE">
        <w:rPr>
          <w:rFonts w:ascii="Arial" w:hAnsi="Arial" w:cs="Arial"/>
          <w:sz w:val="24"/>
          <w:szCs w:val="24"/>
        </w:rPr>
        <w:t>de acordo com a classificação ATC,</w:t>
      </w:r>
      <w:r w:rsidR="00F70340" w:rsidRPr="00E25A7E">
        <w:rPr>
          <w:rFonts w:ascii="Arial" w:hAnsi="Arial" w:cs="Arial"/>
          <w:sz w:val="24"/>
          <w:szCs w:val="24"/>
        </w:rPr>
        <w:t xml:space="preserve"> foram os da classe N (45,5%), classe C (37,9%) e classe A (7,6%).</w:t>
      </w:r>
      <w:r w:rsidR="00F70340">
        <w:rPr>
          <w:rFonts w:ascii="Arial" w:hAnsi="Arial" w:cs="Arial"/>
          <w:sz w:val="24"/>
          <w:szCs w:val="24"/>
        </w:rPr>
        <w:t xml:space="preserve"> A</w:t>
      </w:r>
      <w:r w:rsidRPr="00B7304D">
        <w:rPr>
          <w:rFonts w:ascii="Arial" w:hAnsi="Arial" w:cs="Arial"/>
          <w:sz w:val="24"/>
          <w:szCs w:val="24"/>
        </w:rPr>
        <w:t xml:space="preserve"> reconciliação medicamentosa, tem uma função importante na valorização do profissional farmacêutico, impedindo erros medicamentosos, e promovendo melhoras ao serviço e a saúde do paciente.</w:t>
      </w:r>
      <w:r w:rsidR="009B2C4B">
        <w:rPr>
          <w:rFonts w:ascii="Arial" w:hAnsi="Arial" w:cs="Arial"/>
          <w:sz w:val="24"/>
          <w:szCs w:val="24"/>
        </w:rPr>
        <w:t xml:space="preserve"> </w:t>
      </w:r>
      <w:r w:rsidR="009B2C4B" w:rsidRPr="009B2C4B">
        <w:rPr>
          <w:rFonts w:ascii="Arial" w:hAnsi="Arial" w:cs="Arial"/>
          <w:sz w:val="24"/>
          <w:szCs w:val="24"/>
        </w:rPr>
        <w:t>Protocolo CAAE: 15159319.7.0000.5515.</w:t>
      </w:r>
    </w:p>
    <w:sectPr w:rsidR="002F6AB8" w:rsidRPr="00B73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4D"/>
    <w:rsid w:val="002514B3"/>
    <w:rsid w:val="002F6AB8"/>
    <w:rsid w:val="00502BAE"/>
    <w:rsid w:val="006C6523"/>
    <w:rsid w:val="009B2C4B"/>
    <w:rsid w:val="009F0F0A"/>
    <w:rsid w:val="00A24252"/>
    <w:rsid w:val="00B7304D"/>
    <w:rsid w:val="00D0685B"/>
    <w:rsid w:val="00E25A7E"/>
    <w:rsid w:val="00F7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87E89C"/>
  <w15:chartTrackingRefBased/>
  <w15:docId w15:val="{E995079F-B9B6-AE43-87E2-FF4DCA22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Rhayane</dc:creator>
  <cp:keywords/>
  <dc:description/>
  <cp:lastModifiedBy>Evelyn Rhayane</cp:lastModifiedBy>
  <cp:revision>2</cp:revision>
  <dcterms:created xsi:type="dcterms:W3CDTF">2020-10-29T22:51:00Z</dcterms:created>
  <dcterms:modified xsi:type="dcterms:W3CDTF">2020-10-29T22:51:00Z</dcterms:modified>
</cp:coreProperties>
</file>